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附件：</w:t>
      </w:r>
    </w:p>
    <w:p>
      <w:pPr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全省实施乡村振兴战略典型案例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left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200"/>
        <w:textAlignment w:val="auto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一、</w:t>
      </w:r>
      <w:r>
        <w:rPr>
          <w:rFonts w:hint="eastAsia" w:ascii="黑体" w:hAnsi="黑体" w:eastAsia="黑体" w:cs="黑体"/>
          <w:sz w:val="36"/>
          <w:szCs w:val="36"/>
        </w:rPr>
        <w:t>综合类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1.凝心聚力抓“三农”，乡村振兴谱新篇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（枣阳市）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2.绘就乡村新蓝图，建设美丽新天府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（崇阳县）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3.虾稻三产齐发展，产城融合促振兴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（潜江市）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200"/>
        <w:textAlignment w:val="auto"/>
        <w:rPr>
          <w:rFonts w:hint="eastAsia" w:ascii="Times New Roman" w:hAnsi="Times New Roman" w:eastAsia="楷体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二、产业兴旺类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4.蕲艾引领推进大健康产业高质量发展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（蕲春县）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5.发</w:t>
      </w: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展休闲农业，助推乡村振兴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（大冶市）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6.特</w:t>
      </w: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色产业打造特色小镇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（罗田县九资河镇）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7.农</w:t>
      </w: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旅融合，兴农富民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（仙桃市胡场镇）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200"/>
        <w:textAlignment w:val="auto"/>
        <w:rPr>
          <w:rFonts w:hint="eastAsia" w:ascii="Times New Roman" w:hAnsi="Times New Roman" w:eastAsia="仿宋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三、生态宜居类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8.画里田园新襄州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（襄阳市襄州区）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9.诗与远方迎客来，漫山美景留余香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（神农架林区大九湖镇）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10.美丽生态古村落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（远安县花林寺镇龙凤村）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11.推进美丽乡村建设，发展生态宜居乡村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（武汉市黄陂区姚家集街杜堂村）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200"/>
        <w:textAlignment w:val="auto"/>
        <w:rPr>
          <w:rFonts w:hint="eastAsia" w:ascii="Times New Roman" w:hAnsi="Times New Roman" w:eastAsia="楷体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四、乡风文明类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12.打好“1234”组合拳，谱写乡风文明进行曲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（鹤峰县邬阳乡）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13.对标乡风文明，振兴状元故里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（天门市净潭乡）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14.小广播传递大能量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（洪湖市曹市镇梅桥村）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200"/>
        <w:textAlignment w:val="auto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五、治理有效类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15.发挥“五治”作用，创建“首善”小镇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（郧西县城关镇）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16.科学治理：描绘乡村振兴新画卷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（宜昌市夷陵区太平溪镇许家冲村）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2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17.探索创新基层治理“袁湖”模式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（孝感市孝南区陡岗镇袁湖村）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200"/>
        <w:textAlignment w:val="auto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六、生活富裕类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18.发扬移民精神，决胜全面小康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（钟祥市柴湖镇）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19.决战脱贫奔小康，全面发展谋振兴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（鄂州市鄂城区汀祖镇华伍村）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200"/>
        <w:textAlignment w:val="auto"/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20.加快产业发展，切实保障民生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-SA"/>
        </w:rPr>
        <w:t>（随州市曾都区万店镇小河沟村）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05DBA"/>
    <w:rsid w:val="0B205DBA"/>
    <w:rsid w:val="288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0"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2020-12-22T02:46:00Z</dcterms:created>
  <dc:creator>王自亮</dc:creator>
  <cp:lastModifiedBy>王自亮</cp:lastModifiedBy>
  <dcterms:modified xsi:type="dcterms:W3CDTF">2020-12-22T02:47:03Z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