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黑体" w:hAnsi="黑体" w:eastAsia="黑体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黑体" w:hAnsi="黑体" w:eastAsia="黑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荆州</w:t>
      </w:r>
      <w:r>
        <w:rPr>
          <w:rFonts w:hint="eastAsia" w:ascii="黑体" w:hAnsi="黑体" w:eastAsia="黑体" w:cs="Arial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开发区</w:t>
      </w:r>
      <w:r>
        <w:rPr>
          <w:rFonts w:hint="eastAsia" w:ascii="黑体" w:hAnsi="黑体" w:eastAsia="黑体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农机购置补贴项目</w:t>
      </w:r>
    </w:p>
    <w:p>
      <w:pPr>
        <w:spacing w:line="600" w:lineRule="exact"/>
        <w:jc w:val="center"/>
        <w:rPr>
          <w:rFonts w:ascii="黑体" w:hAnsi="黑体" w:eastAsia="黑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Arial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黑体" w:hAnsi="黑体" w:eastAsia="黑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年度绩效自评报告</w:t>
      </w:r>
    </w:p>
    <w:p>
      <w:pPr>
        <w:spacing w:line="600" w:lineRule="exact"/>
        <w:ind w:firstLine="720" w:firstLineChars="200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一、绩效目标分解下达情况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根据《省农业厅、省财政厅关于印发湖北省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2021—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</w:p>
    <w:p>
      <w:pPr>
        <w:spacing w:line="540" w:lineRule="exact"/>
        <w:rPr>
          <w:rFonts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年农机购置补贴实施方案的通知》（鄂农计发[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号）、《省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财政厅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提前下达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2021年农业转移支付资金预算的通知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》（鄂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财农发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号）文件，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下达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中央</w:t>
      </w:r>
      <w:bookmarkStart w:id="0" w:name="OLE_LINK1"/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农机购置补贴资金</w:t>
      </w:r>
      <w:bookmarkEnd w:id="0"/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190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2020年结余32.492万元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我局结合开发区农业实际情况，认真贯彻保障粮食安全，推动绿色发展的工作思路，根据我区机具实际情况，确定了补贴机具种类，对范围内全部机具品目敞开补贴并落实到位。</w:t>
      </w:r>
      <w:bookmarkStart w:id="1" w:name="OLE_LINK2"/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全年共使用购机补贴资金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164.38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万元，资金使用率达到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年受理农户补贴申请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新增机具</w:t>
      </w:r>
      <w:r>
        <w:rPr>
          <w:rFonts w:hint="eastAsia" w:ascii="仿宋" w:hAnsi="仿宋" w:eastAsia="仿宋" w:cs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台套，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其中拖拉机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（增补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1台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，旋耕机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（增补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1台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，联合收割机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台，其它机具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台套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，报废机具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2台，</w:t>
      </w:r>
      <w:r>
        <w:rPr>
          <w:rFonts w:hint="eastAsia"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受益农户</w:t>
      </w:r>
      <w:r>
        <w:rPr>
          <w:rFonts w:hint="eastAsia" w:ascii="仿宋" w:hAnsi="仿宋" w:eastAsia="仿宋" w:cs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户，取得</w:t>
      </w:r>
      <w:r>
        <w:rPr>
          <w:rFonts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了良好的社会</w:t>
      </w:r>
      <w:r>
        <w:rPr>
          <w:rFonts w:hint="eastAsia"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效益</w:t>
      </w:r>
      <w:r>
        <w:rPr>
          <w:rFonts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和经济效益。</w:t>
      </w:r>
      <w:bookmarkEnd w:id="1"/>
    </w:p>
    <w:p>
      <w:pPr>
        <w:spacing w:line="600" w:lineRule="exact"/>
        <w:ind w:firstLine="640" w:firstLineChars="200"/>
        <w:rPr>
          <w:rFonts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二、绩效目标完成情况分析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ind w:firstLine="643" w:firstLineChars="200"/>
        <w:outlineLvl w:val="0"/>
        <w:rPr>
          <w:rFonts w:ascii="仿宋" w:hAnsi="仿宋" w:eastAsia="仿宋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（一）资金投入情况分析。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1.20</w:t>
      </w:r>
      <w:r>
        <w:rPr>
          <w:rFonts w:hint="eastAsia" w:ascii="仿宋" w:hAnsi="仿宋" w:eastAsia="仿宋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年全年预算农机购置补贴项目资金到位及时</w:t>
      </w:r>
      <w:r>
        <w:rPr>
          <w:rFonts w:hint="eastAsia" w:ascii="仿宋" w:hAnsi="仿宋" w:eastAsia="仿宋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严格按实施方案的要求，确定补贴对象和补贴标准，在补贴限额的标准内做到了应补尽补。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3.对补贴机具入户核查率达100%，从源头上保障了补贴资金的安全。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4.农机购置补贴资金实行专款专用，独立核算，无整合、占用、滥用情况。</w:t>
      </w:r>
    </w:p>
    <w:p>
      <w:pPr>
        <w:spacing w:line="600" w:lineRule="exact"/>
        <w:ind w:firstLine="643" w:firstLineChars="200"/>
        <w:outlineLvl w:val="0"/>
        <w:rPr>
          <w:rFonts w:ascii="仿宋" w:hAnsi="仿宋" w:eastAsia="仿宋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（二）总体绩效目标完成情况分析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任务清单：我区实际完成农机购置补贴机具</w:t>
      </w:r>
      <w:r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台（套）、直接受益农户</w:t>
      </w:r>
      <w:r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户。</w:t>
      </w:r>
    </w:p>
    <w:p>
      <w:pPr>
        <w:spacing w:line="600" w:lineRule="exact"/>
        <w:ind w:firstLine="643" w:firstLineChars="200"/>
        <w:outlineLvl w:val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（三）绩效目标完成情况分析。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1.产出指标完成情况分析。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（1）数量指标。20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年受理农户补贴申请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新增机具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台套，受益农户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质量指标。对全年购置的拖拉机、联合收割机全部纳牌证管理，达到100%；对县级农机购置补贴信息公开栏专人维护，公开栏抽查合格率100%；补贴机具全部进行了入户核查，并照相存档，入户核查率达到100%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（3）时效指标。全年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结算，并按时将补贴资金拨付到位。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2.效益指标完成情况分析。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（1）经济效益。20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年推动农户购机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台套，全区农机化作业能力得到较大提升，拉动农户农机购置额达到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万元，促进了农民生产成本降低，农业增资，农民增收。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（2）社会效益。全年农机购置补贴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受益农户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户，农作物耕种收综合机械化率达到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（3）生态效益。农机购置补贴促进了我区生态文明建设，20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年推广秸秆综合利用机具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台套，秸秆综合利用率达到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（4）可持续影响。通过农机购置补贴政策的实施，促进了农机转型升级，农机作业服务能力持续增强。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3.满意度指标完成情况分析。</w:t>
      </w:r>
    </w:p>
    <w:p>
      <w:pPr>
        <w:spacing w:line="600" w:lineRule="exact"/>
        <w:ind w:firstLine="600" w:firstLineChars="200"/>
        <w:jc w:val="left"/>
        <w:rPr>
          <w:rFonts w:hint="eastAsia"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OLE_LINK3"/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年农机购置补贴资金共计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222.492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2020年结余资金32.492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，全年共使用购机补贴资金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164.38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万元，资金使用率达到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受理农户补贴申请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新增机具</w:t>
      </w:r>
      <w:r>
        <w:rPr>
          <w:rFonts w:hint="eastAsia" w:ascii="仿宋" w:hAnsi="仿宋" w:eastAsia="仿宋" w:cs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台套，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其中拖拉机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（增补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1台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，旋耕机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（增补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1台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，联合收割机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台，其它机具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台套</w:t>
      </w:r>
      <w:r>
        <w:rPr>
          <w:rFonts w:hint="eastAsia" w:ascii="仿宋" w:hAnsi="仿宋" w:eastAsia="仿宋"/>
          <w:color w:val="000000" w:themeColor="text1"/>
          <w:szCs w:val="30"/>
          <w:lang w:eastAsia="zh-CN"/>
          <w14:textFill>
            <w14:solidFill>
              <w14:schemeClr w14:val="tx1"/>
            </w14:solidFill>
          </w14:textFill>
        </w:rPr>
        <w:t>，报废机具</w:t>
      </w:r>
      <w:r>
        <w:rPr>
          <w:rFonts w:hint="eastAsia" w:ascii="仿宋" w:hAnsi="仿宋" w:eastAsia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2台，</w:t>
      </w:r>
      <w:r>
        <w:rPr>
          <w:rFonts w:hint="eastAsia"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受益农户</w:t>
      </w:r>
      <w:r>
        <w:rPr>
          <w:rFonts w:hint="eastAsia" w:ascii="仿宋" w:hAnsi="仿宋" w:eastAsia="仿宋" w:cs="仿宋"/>
          <w:color w:val="000000" w:themeColor="text1"/>
          <w:szCs w:val="30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户，取得</w:t>
      </w:r>
      <w:r>
        <w:rPr>
          <w:rFonts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了良好的社会</w:t>
      </w:r>
      <w:r>
        <w:rPr>
          <w:rFonts w:hint="eastAsia"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效益</w:t>
      </w:r>
      <w:r>
        <w:rPr>
          <w:rFonts w:ascii="仿宋" w:hAnsi="仿宋" w:eastAsia="仿宋" w:cs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和经济效益。</w:t>
      </w:r>
    </w:p>
    <w:bookmarkEnd w:id="2"/>
    <w:p>
      <w:pPr>
        <w:spacing w:line="600" w:lineRule="exact"/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三、偏离绩效目标的原因和下一步改进措施</w:t>
      </w:r>
    </w:p>
    <w:p>
      <w:pPr>
        <w:spacing w:line="600" w:lineRule="exact"/>
        <w:ind w:firstLine="640" w:firstLineChars="200"/>
        <w:rPr>
          <w:rFonts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农机购置补贴工作虽然取得了一定的成绩，但也还存在一些不足之处，主要表现在：农业生产应用的农机具发展不平衡，在耕种管收等作业环节中，机耕，机收环节机具发展快，而机播、秸秆综合利用等环节机具发展较为缓慢，有些农户对</w:t>
      </w:r>
      <w:r>
        <w:rPr>
          <w:rFonts w:hint="eastAsia"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型农机不了解，推广力度需要进一步加大。在下一步我站将加大农机补贴政策的宣传，针对我区蔬菜种植、水产养殖等农机生产薄弱环节，通过现场会、机械示范等多种形式，加强政策宣传，提高农户的购买热情。加大对农机报废更新工作的宣传和服务工作，简化工作程序，提高服务质量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加快农业机械报废更新和升级换代。</w:t>
      </w:r>
    </w:p>
    <w:p>
      <w:pPr>
        <w:spacing w:line="600" w:lineRule="exact"/>
        <w:ind w:firstLine="643" w:firstLineChars="200"/>
        <w:rPr>
          <w:rFonts w:ascii="仿宋" w:hAnsi="仿宋" w:eastAsia="仿宋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四、绩效自评结果拟应用和公开情况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我站在以后项目实施工作中，进一步加强监管，规范项目实施程序，加强资金监管，强化绩效考评，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加大宣传力度，搞好调查摸底，实行阳光操作，严肃工作纪律，狠抓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工作任务落实，全面推进农机化事业健康、有序发展。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五、其他需要说明的问题</w:t>
      </w:r>
    </w:p>
    <w:p>
      <w:pPr>
        <w:spacing w:line="600" w:lineRule="exact"/>
        <w:rPr>
          <w:rFonts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我区农购置补贴</w:t>
      </w:r>
      <w:r>
        <w:rPr>
          <w:rFonts w:hint="eastAsia" w:ascii="仿宋" w:hAnsi="仿宋" w:eastAsia="仿宋"/>
          <w:color w:val="000000" w:themeColor="text1"/>
          <w:szCs w:val="30"/>
          <w14:textFill>
            <w14:solidFill>
              <w14:schemeClr w14:val="tx1"/>
            </w14:solidFill>
          </w14:textFill>
        </w:rPr>
        <w:t>核查中未发现 “三包”服务不到位、不正当竞争、出厂编号及铭牌不规范、虚假宣传、降低配置、以次充好、骗补套补等行为，有力保障了农机购置补贴资金使用安全。</w:t>
      </w:r>
    </w:p>
    <w:p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荆州</w:t>
      </w:r>
      <w:bookmarkStart w:id="4" w:name="_GoBack"/>
      <w:bookmarkEnd w:id="4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开发区社管局</w:t>
      </w:r>
    </w:p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639"/>
        <w:gridCol w:w="907"/>
        <w:gridCol w:w="1402"/>
        <w:gridCol w:w="1415"/>
        <w:gridCol w:w="813"/>
        <w:gridCol w:w="826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26" w:type="dxa"/>
            <w:gridSpan w:val="8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26" w:type="dxa"/>
            <w:gridSpan w:val="8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荆州开发区农机购置补贴绩效目标自评表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26" w:type="dxa"/>
            <w:gridSpan w:val="8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6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2021年农机购置补贴项目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荆州开发区社管局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222.492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164.38</w:t>
            </w:r>
            <w:bookmarkEnd w:id="3"/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其中：中央补助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222.492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164.38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省级资金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市县级资金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购买各类农机具数70台（套），受益农户或组织55户（个）。</w:t>
            </w:r>
          </w:p>
        </w:tc>
        <w:tc>
          <w:tcPr>
            <w:tcW w:w="3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2021年，共补贴各类农机具122台、受益农户72户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农机购置补贴机具数（台、套）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受益农户（户）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补贴的牌证机具办理牌证率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补贴机具入户核查率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县级补贴信息公开专栏抽查合格率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农机购置补贴年度资金兑付率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补贴款一次性打卡发放率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带动农户购机额（万元）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促进农民增收产业增效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农作物耕种收综合机械化率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80.00%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生态指标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补贴机具符合国家污染物排放标准率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秸秆综合利用率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增加农机总动力（万千瓦）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农机作业能力提升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持续增强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持续增强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购机者满意率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7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</w:tbl>
    <w:p>
      <w:p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C6"/>
    <w:rsid w:val="0003590D"/>
    <w:rsid w:val="00131E66"/>
    <w:rsid w:val="00153394"/>
    <w:rsid w:val="001958E0"/>
    <w:rsid w:val="001A1E01"/>
    <w:rsid w:val="001F2698"/>
    <w:rsid w:val="00235863"/>
    <w:rsid w:val="00235FB6"/>
    <w:rsid w:val="00241690"/>
    <w:rsid w:val="002E5020"/>
    <w:rsid w:val="003227C6"/>
    <w:rsid w:val="003307E1"/>
    <w:rsid w:val="00353CC8"/>
    <w:rsid w:val="00354C42"/>
    <w:rsid w:val="003837BC"/>
    <w:rsid w:val="003C7F3D"/>
    <w:rsid w:val="003E2D58"/>
    <w:rsid w:val="00435E9F"/>
    <w:rsid w:val="00477B68"/>
    <w:rsid w:val="005A67C9"/>
    <w:rsid w:val="005C3ABA"/>
    <w:rsid w:val="005E02A6"/>
    <w:rsid w:val="0061184E"/>
    <w:rsid w:val="00664E07"/>
    <w:rsid w:val="006D593F"/>
    <w:rsid w:val="006E2DAD"/>
    <w:rsid w:val="0074727F"/>
    <w:rsid w:val="007D0EE7"/>
    <w:rsid w:val="00801847"/>
    <w:rsid w:val="00805206"/>
    <w:rsid w:val="008459E3"/>
    <w:rsid w:val="008B4299"/>
    <w:rsid w:val="008D12CA"/>
    <w:rsid w:val="009369AD"/>
    <w:rsid w:val="00947CB0"/>
    <w:rsid w:val="009701A0"/>
    <w:rsid w:val="00970DCD"/>
    <w:rsid w:val="009719AB"/>
    <w:rsid w:val="00972F14"/>
    <w:rsid w:val="00974444"/>
    <w:rsid w:val="009A36E9"/>
    <w:rsid w:val="009F42B5"/>
    <w:rsid w:val="00A14137"/>
    <w:rsid w:val="00A54C8E"/>
    <w:rsid w:val="00A94B59"/>
    <w:rsid w:val="00A966ED"/>
    <w:rsid w:val="00AB4ED7"/>
    <w:rsid w:val="00AD645B"/>
    <w:rsid w:val="00B51049"/>
    <w:rsid w:val="00B879E2"/>
    <w:rsid w:val="00CE0372"/>
    <w:rsid w:val="00D25EF9"/>
    <w:rsid w:val="00D57A51"/>
    <w:rsid w:val="00D7438D"/>
    <w:rsid w:val="00D7442B"/>
    <w:rsid w:val="00E47B0D"/>
    <w:rsid w:val="00E50AF3"/>
    <w:rsid w:val="00EC68E4"/>
    <w:rsid w:val="00ED1930"/>
    <w:rsid w:val="00F01991"/>
    <w:rsid w:val="00F41E2D"/>
    <w:rsid w:val="00F53439"/>
    <w:rsid w:val="00F86799"/>
    <w:rsid w:val="00FC5ABD"/>
    <w:rsid w:val="13AC7691"/>
    <w:rsid w:val="1C9054BB"/>
    <w:rsid w:val="24006343"/>
    <w:rsid w:val="24651118"/>
    <w:rsid w:val="26A849BE"/>
    <w:rsid w:val="28885D05"/>
    <w:rsid w:val="47FD6C52"/>
    <w:rsid w:val="60B748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91"/>
    <w:basedOn w:val="4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">
    <w:name w:val="font01"/>
    <w:basedOn w:val="4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2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306</Words>
  <Characters>1750</Characters>
  <Lines>14</Lines>
  <Paragraphs>4</Paragraphs>
  <ScaleCrop>false</ScaleCrop>
  <LinksUpToDate>false</LinksUpToDate>
  <CharactersWithSpaces>2052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2020-05-13T09:26:00Z</dcterms:created>
  <dc:creator>冯妍妍/预算绩效管理处（行资处）/湖北省财政厅</dc:creator>
  <cp:lastModifiedBy>Administrator</cp:lastModifiedBy>
  <cp:lastPrinted>2018-03-29T08:09:00Z</cp:lastPrinted>
  <dcterms:modified xsi:type="dcterms:W3CDTF">2022-03-14T01:51:41Z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