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pacing w:line="360" w:lineRule="auto"/>
        <w:jc w:val="left"/>
        <w:rPr>
          <w:rFonts w:hint="eastAsia" w:ascii="宋体" w:hAnsi="宋体" w:eastAsia="宋体" w:cs="宋体"/>
          <w:kern w:val="0"/>
          <w:sz w:val="32"/>
          <w:szCs w:val="32"/>
          <w:lang w:val="zh-CN"/>
        </w:rPr>
      </w:pPr>
      <w:bookmarkStart w:id="0" w:name="_GoBack"/>
      <w:r>
        <w:rPr>
          <w:rFonts w:hint="eastAsia" w:ascii="宋体" w:hAnsi="宋体" w:eastAsia="宋体" w:cs="宋体"/>
          <w:sz w:val="32"/>
          <w:szCs w:val="32"/>
        </w:rPr>
        <w:t>附件1</w:t>
      </w:r>
    </w:p>
    <w:p>
      <w:pPr>
        <w:jc w:val="center"/>
        <w:rPr>
          <w:rFonts w:hint="eastAsia" w:ascii="宋体" w:hAnsi="宋体" w:eastAsia="宋体" w:cs="宋体"/>
          <w:kern w:val="0"/>
          <w:sz w:val="36"/>
          <w:szCs w:val="36"/>
        </w:rPr>
      </w:pPr>
      <w:r>
        <w:rPr>
          <w:rFonts w:hint="eastAsia" w:ascii="宋体" w:hAnsi="宋体" w:eastAsia="宋体" w:cs="宋体"/>
          <w:kern w:val="0"/>
          <w:sz w:val="36"/>
          <w:szCs w:val="36"/>
        </w:rPr>
        <w:t>农机报废更新补贴定点回收单位挂牌样式</w:t>
      </w:r>
    </w:p>
    <w:p>
      <w:pPr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374015</wp:posOffset>
                </wp:positionH>
                <wp:positionV relativeFrom="paragraph">
                  <wp:posOffset>374015</wp:posOffset>
                </wp:positionV>
                <wp:extent cx="4895850" cy="2781300"/>
                <wp:effectExtent l="4445" t="4445" r="14605" b="1460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95850" cy="278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.45pt;margin-top:29.45pt;height:219pt;width:385.5pt;z-index:251659264;mso-width-relative:page;mso-height-relative:page;" fillcolor="#FFFFFF" filled="t" stroked="t" coordsize="21600,21600" o:gfxdata="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kgB9IdcAAAAJAQAADwAAAAAA&#10;AAABACAAAAAiAAAAZHJzL2Rvd25yZXYueG1sUEsBAhQAFAAAAAgAh07iQO4HukwUAgAARQQAAA4A&#10;AAAAAAAAAQAgAAAAJgEAAGRycy9lMm9Eb2MueG1sUEsFBgAAAAAGAAYAWQEAAKw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649605</wp:posOffset>
                </wp:positionH>
                <wp:positionV relativeFrom="paragraph">
                  <wp:posOffset>942975</wp:posOffset>
                </wp:positionV>
                <wp:extent cx="4317365" cy="1914525"/>
                <wp:effectExtent l="0" t="0" r="6985" b="952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315" cy="191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</w:rPr>
                            </w:pPr>
                            <w:r>
                              <w:rPr>
                                <w:rFonts w:cs="Calibri"/>
                                <w:kern w:val="0"/>
                                <w:sz w:val="20"/>
                              </w:rPr>
                              <w:pict>
                                <v:shape id="_x0000_i1025" o:spt="144" type="#_x0000_t144" style="height:116.25pt;width:306pt;" fillcolor="#000000" filled="t" stroked="t" coordsize="21600,21600" adj="11796480">
                                  <v:path/>
                                  <v:fill on="t" color2="#FFFFFF" focussize="0,0"/>
                                  <v:stroke/>
                                  <v:imagedata o:title=""/>
                                  <o:lock v:ext="edit" aspectratio="f"/>
                                  <v:textpath on="t" fitshape="t" fitpath="t" trim="t" xscale="f" string="通城县农机报废更新补贴" style="font-family:宋体;font-size:36pt;v-text-align:center;"/>
                                  <w10:wrap type="none"/>
                                  <w10:anchorlock/>
                                </v:shape>
                              </w:pict>
                            </w:r>
                          </w:p>
                        </w:txbxContent>
                      </wps:txbx>
                      <wps:bodyPr wrap="non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1.15pt;margin-top:74.25pt;height:150.75pt;width:339.95pt;mso-wrap-style:none;z-index:251660288;mso-width-relative:page;mso-height-relative:page;" fillcolor="#FFFFFF" filled="t" stroked="f" coordsize="21600,21600" o:gfxdata="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XxvJ&#10;itkAAAALAQAADwAAAAAAAAABACAAAAAiAAAAZHJzL2Rvd25yZXYueG1sUEsBAhQAFAAAAAgAh07i&#10;QKV/9Y/oAQAAvwMAAA4AAAAAAAAAAQAgAAAAKAEAAGRycy9lMm9Eb2MueG1sUEsFBgAAAAAGAAYA&#10;WQEAAIIFAAAAAA==&#10;">
                <v:fill on="t" focussize="0,0"/>
                <v:stroke on="f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黑体" w:hAnsi="黑体" w:eastAsia="黑体" w:cs="黑体"/>
                        </w:rPr>
                      </w:pPr>
                      <w:r>
                        <w:rPr>
                          <w:rFonts w:cs="Calibri"/>
                          <w:kern w:val="0"/>
                          <w:sz w:val="20"/>
                        </w:rPr>
                        <w:pict>
                          <v:shape id="_x0000_i1025" o:spt="144" type="#_x0000_t144" style="height:116.25pt;width:306pt;" fillcolor="#000000" filled="t" stroked="t" coordsize="21600,21600" adj="11796480">
                            <v:path/>
                            <v:fill on="t" color2="#FFFFFF" focussize="0,0"/>
                            <v:stroke/>
                            <v:imagedata o:title=""/>
                            <o:lock v:ext="edit" aspectratio="f"/>
                            <v:textpath on="t" fitshape="t" fitpath="t" trim="t" xscale="f" string="通城县农机报废更新补贴" style="font-family:宋体;font-size:36pt;v-text-align:center;"/>
                            <w10:wrap type="none"/>
                            <w10:anchorlock/>
                          </v:shape>
                        </w:pic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659765</wp:posOffset>
                </wp:positionH>
                <wp:positionV relativeFrom="paragraph">
                  <wp:posOffset>1973580</wp:posOffset>
                </wp:positionV>
                <wp:extent cx="4315460" cy="1034415"/>
                <wp:effectExtent l="0" t="0" r="8890" b="1333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5460" cy="1034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36"/>
                                <w:szCs w:val="36"/>
                              </w:rPr>
                              <w:t>定点回收单位</w:t>
                            </w:r>
                          </w:p>
                          <w:p>
                            <w:pPr>
                              <w:jc w:val="right"/>
                              <w:rPr>
                                <w:rFonts w:hint="eastAsia" w:ascii="黑体" w:hAnsi="黑体" w:eastAsia="黑体" w:cs="黑体"/>
                                <w:sz w:val="24"/>
                              </w:rPr>
                            </w:pPr>
                          </w:p>
                          <w:p>
                            <w:pPr>
                              <w:wordWrap w:val="0"/>
                              <w:jc w:val="center"/>
                              <w:rPr>
                                <w:rFonts w:hint="eastAsia" w:ascii="黑体" w:hAnsi="黑体" w:eastAsia="黑体" w:cs="黑体"/>
                                <w:sz w:val="24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  <w:lang w:val="en-US" w:eastAsia="zh-CN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</w:rPr>
                              <w:t xml:space="preserve">监管单位：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  <w:lang w:eastAsia="zh-CN"/>
                              </w:rPr>
                              <w:t>通城县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</w:rPr>
                              <w:t>农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  <w:lang w:eastAsia="zh-CN"/>
                              </w:rPr>
                              <w:t>业农村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</w:rPr>
                              <w:t>局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1.95pt;margin-top:155.4pt;height:81.45pt;width:339.8pt;z-index:251661312;mso-width-relative:page;mso-height-relative:page;" fillcolor="#FFFFFF" filled="t" stroked="f" coordsize="21600,21600" o:gfxdata="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bY7bq2QAAAAsBAAAPAAAAAAAAAAEA&#10;IAAAACIAAABkcnMvZG93bnJldi54bWxQSwECFAAUAAAACACHTuJAvGZqxtUBAACZAwAADgAAAAAA&#10;AAABACAAAAAoAQAAZHJzL2Uyb0RvYy54bWxQSwUGAAAAAAYABgBZAQAAbwUAAAAA&#10;">
                <v:fill on="t" focussize="0,0"/>
                <v:stroke on="f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hAnsi="黑体" w:eastAsia="黑体" w:cs="黑体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36"/>
                          <w:szCs w:val="36"/>
                        </w:rPr>
                        <w:t>定点回收单位</w:t>
                      </w:r>
                    </w:p>
                    <w:p>
                      <w:pPr>
                        <w:jc w:val="right"/>
                        <w:rPr>
                          <w:rFonts w:hint="eastAsia" w:ascii="黑体" w:hAnsi="黑体" w:eastAsia="黑体" w:cs="黑体"/>
                          <w:sz w:val="24"/>
                        </w:rPr>
                      </w:pPr>
                    </w:p>
                    <w:p>
                      <w:pPr>
                        <w:wordWrap w:val="0"/>
                        <w:jc w:val="center"/>
                        <w:rPr>
                          <w:rFonts w:hint="eastAsia" w:ascii="黑体" w:hAnsi="黑体" w:eastAsia="黑体" w:cs="黑体"/>
                          <w:sz w:val="24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4"/>
                          <w:lang w:val="en-US" w:eastAsia="zh-CN"/>
                        </w:rPr>
                        <w:t xml:space="preserve">                        </w:t>
                      </w:r>
                      <w:r>
                        <w:rPr>
                          <w:rFonts w:hint="eastAsia" w:ascii="黑体" w:hAnsi="黑体" w:eastAsia="黑体" w:cs="黑体"/>
                          <w:sz w:val="24"/>
                        </w:rPr>
                        <w:t xml:space="preserve">监管单位： </w:t>
                      </w:r>
                      <w:r>
                        <w:rPr>
                          <w:rFonts w:hint="eastAsia" w:ascii="黑体" w:hAnsi="黑体" w:eastAsia="黑体" w:cs="黑体"/>
                          <w:sz w:val="24"/>
                          <w:lang w:eastAsia="zh-CN"/>
                        </w:rPr>
                        <w:t>通城县</w:t>
                      </w:r>
                      <w:r>
                        <w:rPr>
                          <w:rFonts w:hint="eastAsia" w:ascii="黑体" w:hAnsi="黑体" w:eastAsia="黑体" w:cs="黑体"/>
                          <w:sz w:val="24"/>
                        </w:rPr>
                        <w:t>农</w:t>
                      </w:r>
                      <w:r>
                        <w:rPr>
                          <w:rFonts w:hint="eastAsia" w:ascii="黑体" w:hAnsi="黑体" w:eastAsia="黑体" w:cs="黑体"/>
                          <w:sz w:val="24"/>
                          <w:lang w:eastAsia="zh-CN"/>
                        </w:rPr>
                        <w:t>业农村</w:t>
                      </w:r>
                      <w:r>
                        <w:rPr>
                          <w:rFonts w:hint="eastAsia" w:ascii="黑体" w:hAnsi="黑体" w:eastAsia="黑体" w:cs="黑体"/>
                          <w:sz w:val="24"/>
                        </w:rPr>
                        <w:t>局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left"/>
        <w:rPr>
          <w:rFonts w:hint="eastAsia" w:ascii="宋体" w:hAnsi="宋体" w:eastAsia="宋体" w:cs="宋体"/>
          <w:sz w:val="30"/>
          <w:szCs w:val="30"/>
        </w:rPr>
      </w:pPr>
    </w:p>
    <w:p>
      <w:pPr>
        <w:jc w:val="left"/>
        <w:rPr>
          <w:rFonts w:hint="eastAsia" w:ascii="宋体" w:hAnsi="宋体" w:eastAsia="宋体" w:cs="宋体"/>
          <w:sz w:val="30"/>
          <w:szCs w:val="30"/>
        </w:rPr>
      </w:pPr>
    </w:p>
    <w:p>
      <w:pPr>
        <w:jc w:val="left"/>
        <w:rPr>
          <w:rFonts w:hint="eastAsia" w:ascii="宋体" w:hAnsi="宋体" w:eastAsia="宋体" w:cs="宋体"/>
          <w:sz w:val="30"/>
          <w:szCs w:val="30"/>
        </w:rPr>
      </w:pPr>
    </w:p>
    <w:p>
      <w:pPr>
        <w:jc w:val="left"/>
        <w:rPr>
          <w:rFonts w:hint="eastAsia" w:ascii="宋体" w:hAnsi="宋体" w:eastAsia="宋体" w:cs="宋体"/>
          <w:sz w:val="30"/>
          <w:szCs w:val="30"/>
        </w:rPr>
      </w:pPr>
    </w:p>
    <w:p>
      <w:pPr>
        <w:widowControl/>
        <w:adjustRightInd w:val="0"/>
        <w:spacing w:line="360" w:lineRule="auto"/>
        <w:jc w:val="left"/>
        <w:rPr>
          <w:rFonts w:hint="eastAsia" w:ascii="宋体" w:hAnsi="宋体" w:eastAsia="宋体" w:cs="宋体"/>
          <w:sz w:val="30"/>
          <w:szCs w:val="30"/>
        </w:rPr>
        <w:sectPr>
          <w:headerReference r:id="rId3" w:type="default"/>
          <w:footerReference r:id="rId4" w:type="default"/>
          <w:pgSz w:w="11906" w:h="16838"/>
          <w:pgMar w:top="1418" w:right="1474" w:bottom="1418" w:left="1588" w:header="851" w:footer="992" w:gutter="0"/>
          <w:pgNumType w:fmt="numberInDash"/>
          <w:cols w:space="720" w:num="1"/>
          <w:docGrid w:type="lines" w:linePitch="319" w:charSpace="0"/>
        </w:sectPr>
      </w:pPr>
    </w:p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207A99"/>
    <w:rsid w:val="0B207A99"/>
    <w:rsid w:val="20944956"/>
    <w:rsid w:val="38AF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2021-10-12T08:33:00Z</dcterms:created>
  <dc:creator>Administrator</dc:creator>
  <cp:lastModifiedBy>Administrator</cp:lastModifiedBy>
  <dcterms:modified xsi:type="dcterms:W3CDTF">2021-10-12T08:43:03Z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BBF4A31ED1E2435EB2DF7384C4C3C6B8</vt:lpwstr>
  </property>
</Properties>
</file>