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757F3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11"/>
          <w:sz w:val="44"/>
          <w:szCs w:val="44"/>
          <w:shd w:val="clear" w:color="auto" w:fill="FFFFFF"/>
          <w:lang w:val="en-US" w:eastAsia="zh-CN"/>
        </w:rPr>
      </w:pPr>
    </w:p>
    <w:p w14:paraId="12FB9BF4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-11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11"/>
          <w:sz w:val="44"/>
          <w:szCs w:val="44"/>
          <w:shd w:val="clear" w:color="auto" w:fill="FFFFFF"/>
          <w:lang w:val="en-US" w:eastAsia="zh-CN"/>
        </w:rPr>
        <w:t>湖北省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11"/>
          <w:sz w:val="44"/>
          <w:szCs w:val="44"/>
          <w:shd w:val="clear" w:color="auto" w:fill="FFFFFF"/>
        </w:rPr>
        <w:t>加强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11"/>
          <w:sz w:val="44"/>
          <w:szCs w:val="44"/>
          <w:shd w:val="clear" w:color="auto" w:fill="FFFFFF"/>
          <w:lang w:val="en-US" w:eastAsia="zh-CN"/>
        </w:rPr>
        <w:t>现代农事综合服务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11"/>
          <w:sz w:val="44"/>
          <w:szCs w:val="44"/>
          <w:shd w:val="clear" w:color="auto" w:fill="FFFFFF"/>
        </w:rPr>
        <w:t>中心建设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11"/>
          <w:sz w:val="44"/>
          <w:szCs w:val="44"/>
          <w:shd w:val="clear" w:color="auto" w:fill="FFFFFF"/>
          <w:lang w:val="en-US" w:eastAsia="zh-CN"/>
        </w:rPr>
        <w:t>行动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11"/>
          <w:sz w:val="44"/>
          <w:szCs w:val="44"/>
          <w:shd w:val="clear" w:color="auto" w:fill="FFFFFF"/>
        </w:rPr>
        <w:t>方案</w:t>
      </w:r>
    </w:p>
    <w:p w14:paraId="30D094A2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-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</w:p>
    <w:p w14:paraId="2BB1D241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征求意见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稿）</w:t>
      </w:r>
    </w:p>
    <w:p w14:paraId="0B0673B4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3FD82861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为有效促进小农户与现代农业有机衔接，全面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提升湖北省农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社会化服务和应急救灾能力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，2026-</w:t>
      </w:r>
      <w:r>
        <w:rPr>
          <w:rFonts w:hint="eastAsia" w:ascii="Times New Roman" w:hAnsi="Times New Roman" w:eastAsia="仿宋_GB2312" w:cs="Times New Roman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2028年，在全省因地制宜升级改造或新建一批布局科学、规模适度、功能完善、服务优质、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两用、一专多能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现代农事综合服务中心</w:t>
      </w:r>
      <w:r>
        <w:rPr>
          <w:rFonts w:hint="eastAsia" w:ascii="Times New Roman" w:hAnsi="Times New Roman" w:eastAsia="仿宋_GB2312" w:cs="Times New Roman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，着力</w:t>
      </w:r>
      <w:r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构建</w:t>
      </w:r>
      <w:r>
        <w:rPr>
          <w:rFonts w:hint="eastAsia" w:ascii="Times New Roman" w:hAnsi="Times New Roman" w:eastAsia="仿宋_GB2312" w:cs="Times New Roman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中心成网、全域覆盖、协同联动、便捷高效</w:t>
      </w:r>
      <w:r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农事综合</w:t>
      </w:r>
      <w:r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服务体系</w:t>
      </w:r>
      <w:r>
        <w:rPr>
          <w:rFonts w:hint="eastAsia" w:ascii="Times New Roman" w:hAnsi="Times New Roman" w:eastAsia="仿宋_GB2312" w:cs="Times New Roman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通过集成供给、</w:t>
      </w:r>
      <w:r>
        <w:rPr>
          <w:rFonts w:hint="eastAsia" w:ascii="Times New Roman" w:hAnsi="Times New Roman" w:eastAsia="仿宋_GB2312" w:cs="Times New Roman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精准服务、</w:t>
      </w:r>
      <w:r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数</w:t>
      </w:r>
      <w:r>
        <w:rPr>
          <w:rFonts w:hint="eastAsia" w:ascii="Times New Roman" w:hAnsi="Times New Roman" w:eastAsia="仿宋_GB2312" w:cs="Times New Roman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智赋能、</w:t>
      </w:r>
      <w:r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产业延伸，</w:t>
      </w:r>
      <w:r>
        <w:rPr>
          <w:rFonts w:hint="eastAsia" w:ascii="Times New Roman" w:hAnsi="Times New Roman" w:eastAsia="仿宋_GB2312" w:cs="Times New Roman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全面实现联农带农，全面提升农业质量效益和竞争力。</w:t>
      </w:r>
    </w:p>
    <w:p w14:paraId="0C2047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一、完善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核心功能</w:t>
      </w:r>
    </w:p>
    <w:p w14:paraId="13A92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以全省各地现有区域性农机社会化服务中心、农机专业合作社、农业社会化服务组织等为基础，围绕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水稻、小麦、玉米、大豆、油菜、果茶菜等主要农作物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“育、耕、种、管、收、烘、储、加、销”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和畜牧、水产养殖生产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全链条全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环节所需农事综合服务短板弱项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统筹各类资源，细化建设指引，强化服务功能，优化运行机制，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持续强化和提升现代农事综合服务中心联农带农、社会化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服务能力和应急救灾功能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为全省农业生产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提供全程机械化、集成化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专业化服务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不断夯实现代农业生产底盘。</w:t>
      </w:r>
    </w:p>
    <w:p w14:paraId="091ED8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精准服务小农户。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聚焦小农户生产经营规模小、装备缺、技术弱、成本高的痛点，引导各地现代农事综合服务中心推出菜单式、轻量化、定制化农事服务包，满足小农户分散经营的灵活需求。针对小农户地块分散特点，开展上门对接、连片托管、代耕代种、代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防代烘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代储代销等便民服务，降低小农户生产作业成本。依托村集体经济组织打通服务小农户“最后一公里”，确保小农户平等享受农机装备、农技指导、农资供应等优质服务资源，推动小农户与现代农业发展有机衔接。</w:t>
      </w:r>
    </w:p>
    <w:p w14:paraId="4B22C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全面提升农业社会化服务能力。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结合各地农业主导产业和优势特色产业发展实际，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立足于补齐本地区农业生产全领域、全过程、全环节的短板弱项，支持农事服务中心选优配强现代农机装备，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建设育秧（苗）工厂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、烘干中心，拓展农机安全维保、农资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配送服务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，开展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测土配方、统防统治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、农业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新品种新技术新装备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农业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关键技术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试验示范和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集成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推广应用，开发建设数字农服和应急指挥调度系统。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支持各地农事综合服务中心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围绕现代农业生产产前、产中、产后全过程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拓展衍生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特色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农事服务功能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，完善农产品冷链仓储设施，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建设农业废弃物资源化利用处理中心，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开展农产品初加工，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ar-SA"/>
        </w:rPr>
        <w:t>发展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农文旅融合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。坚持缺什么补什么，不断提升现代农事综合服务能力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 w14:paraId="57293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促进公益性服务与经营性服务融合。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通过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政府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购买服务、承担政策性项目等形式，支持农事服务中心承接应急救灾、重大动植物疫病防控、农产品质量安全检测等公益性服务。鼓励支持各地依托农事服务中心建设农业应急救灾服务体系，坚持公益性服务与经营性服务有机结合，加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农业应急救灾能力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建设，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配齐配好农业应急救灾机具，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常态化组建农业应急救灾作业服务队，强化应急指挥调度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灾害发生后，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组织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应急救灾队伍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第一时间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开展干旱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</w:rPr>
        <w:t>抢浇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、内涝抢排、雨季抢收、湿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</w:rPr>
        <w:t>粮抢烘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、灾后抢种等本地救灾作业及跨区支援服务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把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农业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灾害损失降到最低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。</w:t>
      </w:r>
    </w:p>
    <w:p w14:paraId="568563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二、健全运营机制</w:t>
      </w:r>
    </w:p>
    <w:p w14:paraId="553A02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坚持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政府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引导、市场主导、多元参与，统筹整合现有各类农业服务资源，加快推进全省农事综合服务中心建设，构建服务高效、保障有力、运营可持续的长效机制，打造湖北农事综合服务特色品牌。</w:t>
      </w:r>
    </w:p>
    <w:p w14:paraId="6EE4DA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坚持市场导向。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支持各类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民合作社联合社、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区域农机社会化服务中心、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农业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社会化服务组织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等主体自主建设运营农事综合服务中心，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统筹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区域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农机服务、粮食产后服务、供销为农服务等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多种资源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融合共建，完善公司化管理，提升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发展能力。日常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农事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服务遵循市场化规律，制定全流程服务技术规范和收费指导标准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应急救灾服务实行市场化与公益性相结合。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湖北北斗智慧农业平台，实现跨主体、跨区域资源高效利用。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科学规划，合理布局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农事服务中心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重点向粮食主产区、特色农产品优势区倾斜。</w:t>
      </w:r>
    </w:p>
    <w:p w14:paraId="5C6760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引导多元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主体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参与。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支持各类主体发挥优势参与中心建设运营。经营性服务主体可自建自营；村集体经济组织可盘活闲置土地、老旧厂房仓库等资源参与；社会投资主体可依托资金、技术、管理优势投入。对多元共建项目，鼓励推行建运分离模式，通过股权投资、租赁等方式交由经营性主体专业化运营。健全协商议事、利益共享、风险共担机制，激发各类主体积极性，形成“中心统筹、多方参与、优势互补、合作共赢”的农事服务新格局。</w:t>
      </w:r>
    </w:p>
    <w:p w14:paraId="05C19A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强化联农带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农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效应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推广“农事综合服务中心+村集体+小农户”模式，实行“保底收益+按股分红”“服务收益+二次返利”等利益联结方式，保障小农户收益。支持村集体通过提供场地、组织农户、居间服务、参与管理等增加收入，壮大村级集体经济。鼓励中心与家庭农场、合作社、服务专业户等中小主体联合协作，健全利益共享、风险共担机制，实现优势互补、协同发展。</w:t>
      </w:r>
    </w:p>
    <w:p w14:paraId="61FEC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三、规范运营管理</w:t>
      </w:r>
    </w:p>
    <w:p w14:paraId="7AB2AF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以标准化、制度化、规范化为目标，强化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农事综合服务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中心建设运营全流程监管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严控建设乱象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推进农事综合服务中心建设务实高效、健康有序发展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17FEB6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理清中心与各类主体关系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农事综合服务中心是统筹服务资源、补齐服务短板的一站式集成平台，各类农业服务主体及供销、农垦等机构均可依托平台发挥作用。加强与粮食储备、供销等部门协同，盘活现有服务资源，不得通过行政命令强制其他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更名换牌，推动各类主体协同发力、形成合力。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农事综合服务中心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与其他服务主体地位平等、无隶属关系，不得违规赋予业务指导职责。</w:t>
      </w:r>
    </w:p>
    <w:p w14:paraId="79BAFF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因地制宜开展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建设。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结合本地产业发展的实际需求，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强化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农事服务中心建设的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规划引领、科学布局，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重点是对现有服务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的统筹联合和服务能力的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改造升级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补齐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短板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弱项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坚决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防止一哄而上、重复建设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、无序竞争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，严禁“运动式”建设，杜绝“形象工程”，避免资源闲置浪费、低效利用。</w:t>
      </w:r>
    </w:p>
    <w:p w14:paraId="2FBB83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准确把握扶持政策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坚持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有为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和有效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相结合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农事服务中心建设的各类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扶持政策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科学论证、严格规范，确保公平精准。不得将财政、金融、用地等资源集中于个别主体，防止人为“垒大户”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形成市场垄断、挤压中小主体。严格落实基层减负要求，不得擅自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授牌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命名，不得以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农事综合服务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中心建设为由削弱农技推广等公共服务机构和队伍建设。</w:t>
      </w:r>
    </w:p>
    <w:p w14:paraId="0471C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强化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支持政策</w:t>
      </w:r>
    </w:p>
    <w:p w14:paraId="269167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482" w:firstLineChars="150"/>
        <w:textAlignment w:val="auto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（一）强化项目支持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省级和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各市州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统筹现有财政资金，发挥财政资金撬动作用，引导社会资本参与现代农事综合服务中心建设和改造升级。支持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各类现代农事综合服务中心承担农业社会化服务、农业应急救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灾、粮油单产提升等各类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政府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购买服务项目。</w:t>
      </w:r>
    </w:p>
    <w:p w14:paraId="37285F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2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（二）强化用地保障。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现代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农事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服务中心建设用地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纳入乡镇重大项目建设用地一体规划，多渠道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盘活农村存量建设用地，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开通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审批“绿色通道”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</w:rPr>
        <w:t>设施农业用地（如机库棚、烘干车间）按规定享受政策优惠，简化审批流程。允许农村集体经济组织按照国家统一部署，通过农村集体经营性建设用地入市等方式参与建设，切实保障用地需求。</w:t>
      </w:r>
    </w:p>
    <w:p w14:paraId="45E98A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（三）强化金融服务。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</w:rPr>
        <w:t>鼓励金融机构开发“农机贷”“农事服务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shd w:val="clear" w:color="auto" w:fill="FFFFFF"/>
        </w:rPr>
        <w:t>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</w:rPr>
        <w:t>”等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</w:rPr>
        <w:t>专属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</w:rPr>
        <w:t>信贷产品，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eastAsia="zh-CN"/>
        </w:rPr>
        <w:t>鼓励各地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</w:rPr>
        <w:t>以农机具、厂房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eastAsia="zh-CN"/>
        </w:rPr>
        <w:t>设施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</w:rPr>
        <w:t>等资产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</w:rPr>
        <w:t>抵押融资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eastAsia="zh-CN"/>
        </w:rPr>
        <w:t>试点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eastAsia="zh-CN"/>
        </w:rPr>
        <w:t>鼓励保险机构为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农事服务设施等提供风险保障服务，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</w:rPr>
        <w:t>探索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</w:rPr>
        <w:t>推广农机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</w:rPr>
        <w:t>作业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</w:rPr>
        <w:t>综合保险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</w:rPr>
        <w:t>商业创新险种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鼓励各地开展“投、贷、保、补”农业政策工具重组试点，不断提高农事服务中心投入保障质效。</w:t>
      </w:r>
    </w:p>
    <w:p w14:paraId="59B9CE3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（四）强化组织保障。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成立由省农业农村厅牵头，省发改委、省财政厅、省自然资源厅、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省农业发展中心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省供销社、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人民银行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湖北省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分行、湖北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金融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等单位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参与的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联席会议制度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，统筹推进规划制定、项目审核、资金安排等工作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市、县成立相应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联席会制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，明确责任分工，确保各项任务落地。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加大综合农事服务中心农机手、维修人员、经营管理人员培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力度，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优育强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各类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人才。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认真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总结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推广各地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农事服务中心建设的好经验、好做法，营造全社会关心支持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现代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农事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综合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服务中心建设的良好氛围。</w:t>
      </w:r>
    </w:p>
    <w:p w14:paraId="3C67BC2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6A7D2CB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附件：现代农事综合服务中心建设功能</w:t>
      </w:r>
      <w:bookmarkStart w:id="0" w:name="_GoBack"/>
      <w:bookmarkEnd w:id="0"/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指引</w:t>
      </w:r>
    </w:p>
    <w:p w14:paraId="07E69ECF">
      <w:pPr>
        <w:keepNext w:val="0"/>
        <w:keepLines w:val="0"/>
        <w:widowControl w:val="0"/>
        <w:suppressLineNumbers w:val="0"/>
        <w:overflowPunct w:val="0"/>
        <w:spacing w:line="576" w:lineRule="exact"/>
        <w:jc w:val="both"/>
        <w:textAlignment w:val="center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</w:p>
    <w:p w14:paraId="33215AB3">
      <w:pPr>
        <w:keepNext w:val="0"/>
        <w:keepLines w:val="0"/>
        <w:widowControl w:val="0"/>
        <w:suppressLineNumbers w:val="0"/>
        <w:overflowPunct w:val="0"/>
        <w:spacing w:line="576" w:lineRule="exact"/>
        <w:jc w:val="both"/>
        <w:textAlignment w:val="center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5C484421">
      <w:pPr>
        <w:keepNext w:val="0"/>
        <w:keepLines w:val="0"/>
        <w:widowControl w:val="0"/>
        <w:suppressLineNumbers w:val="0"/>
        <w:overflowPunct w:val="0"/>
        <w:spacing w:line="576" w:lineRule="exact"/>
        <w:jc w:val="center"/>
        <w:textAlignment w:val="center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现代农事综合服务中心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建设功能指引</w:t>
      </w:r>
    </w:p>
    <w:p w14:paraId="35514F41">
      <w:pPr>
        <w:keepNext w:val="0"/>
        <w:keepLines w:val="0"/>
        <w:widowControl w:val="0"/>
        <w:numPr>
          <w:ilvl w:val="0"/>
          <w:numId w:val="0"/>
        </w:numPr>
        <w:suppressLineNumbers w:val="0"/>
        <w:overflowPunct w:val="0"/>
        <w:spacing w:line="576" w:lineRule="exact"/>
        <w:jc w:val="both"/>
        <w:textAlignment w:val="center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26FB07C3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中心应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具备“1+N”功能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2A0178F4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“1”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就是为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水稻、小麦、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玉米、大豆、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油菜、果茶菜等主要农作物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“育、耕、种、管、收、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烘、储、加、销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和畜牧、水产养殖生产提供全程机械化作业服务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1DEE510A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“N”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就是紧紧围绕现代农业生产产前、产中、产后全过程、农业产业化全链条衍生拓展而来的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其他多种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专业农事服务功能，主要包括以下内容：</w:t>
      </w:r>
    </w:p>
    <w:p w14:paraId="5E27370A">
      <w:pPr>
        <w:pStyle w:val="6"/>
        <w:keepNext w:val="0"/>
        <w:keepLines w:val="0"/>
        <w:pageBreakBefore w:val="0"/>
        <w:widowControl w:val="0"/>
        <w:shd w:val="clear" w:color="auto" w:fill="auto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应急救灾。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以应对干旱、洪涝、病虫害等频发常见的农业灾害为重点，及时开展抢耕抢种、抢收抢烘、抢排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抢灌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、统防统治等重点环节应急作业保障。</w:t>
      </w:r>
    </w:p>
    <w:p w14:paraId="075E5C1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2.集中育秧。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建设工厂化育秧（苗）中心，提供统一育秧（苗）、统一供秧（苗）服务。</w:t>
      </w:r>
    </w:p>
    <w:p w14:paraId="7A39C5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3.烘干加工。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建设粮油烘干加工中心，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合理配套建设烘干塔、移动烘干机等区域应急能力，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提供统一烘干、清理、加工服务。配置谷糙分离、除杂设备，具有相应的清理除杂能力。</w:t>
      </w:r>
    </w:p>
    <w:p w14:paraId="228151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4.农资配送。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提供种子（种苗）、肥料、农药、农膜等农资集中采购、统一配送服务。</w:t>
      </w:r>
    </w:p>
    <w:p w14:paraId="237BA3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5.农技服务。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提供测土配方、统防统治、田间诊断、技术培训、技术咨询等服务。</w:t>
      </w:r>
    </w:p>
    <w:p w14:paraId="68EDDC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6.农业废弃物综合利用。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建设农业废弃物资源化利用处理中心，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集中收集处理农作物秸秆、畜禽粪污、农药废弃包装物等农业废弃物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，提高其收储能力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8C4FD2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center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7.农机安全维保。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提供农机具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安全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检查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、维修、保养及关键零部件配送等服务，支持升级为整机销售、配件供应、维修保养于一体的农机4S服务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，提高安全救援能力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42F47C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8.农产品初加工。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粮油作物初加工、水果蔬菜等生鲜产品的清选和分级包装等，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提升产品价值、延长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保质期以及优化品质。</w:t>
      </w:r>
    </w:p>
    <w:p w14:paraId="20D1AEA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9.冷链仓储。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配备低温粮库或冷库，库容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不低于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2000立方米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以上。</w:t>
      </w:r>
    </w:p>
    <w:p w14:paraId="1144415F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10.农事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研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提供农业科普、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农耕文化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教育、农耕体验、农业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休闲观光等农文旅融合服务，开展新技术试验示范。</w:t>
      </w:r>
    </w:p>
    <w:p w14:paraId="29600023">
      <w:pPr>
        <w:pStyle w:val="6"/>
        <w:keepNext w:val="0"/>
        <w:keepLines w:val="0"/>
        <w:pageBreakBefore w:val="0"/>
        <w:widowControl w:val="0"/>
        <w:shd w:val="clear" w:color="auto" w:fill="auto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数字农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以北斗技术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人工智能为支撑，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动农业社会化服务数字化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打造“智能农机+综合农事”智慧农场，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实现无人驾驶机械、北斗导航定位、自动控制灌排水（喷淋）等智能农机广泛应用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DDB5E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可以结合当地实际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，拓展建设其他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农事服务功能。</w:t>
      </w:r>
    </w:p>
    <w:p w14:paraId="518ABC19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1C1F23"/>
          <w:spacing w:val="-11"/>
          <w:sz w:val="44"/>
          <w:szCs w:val="44"/>
          <w:shd w:val="clear" w:color="auto" w:fill="FFFFFF"/>
          <w:lang w:val="en-US" w:eastAsia="zh-CN"/>
        </w:rPr>
      </w:pPr>
    </w:p>
    <w:p w14:paraId="38E56D17">
      <w:pPr>
        <w:overflowPunct w:val="0"/>
        <w:spacing w:line="576" w:lineRule="exact"/>
        <w:rPr>
          <w:rFonts w:ascii="Times New Roman" w:hAnsi="Times New Roman"/>
        </w:rPr>
      </w:pPr>
    </w:p>
    <w:p w14:paraId="047E47A5">
      <w:pPr>
        <w:overflowPunct w:val="0"/>
        <w:spacing w:line="576" w:lineRule="exact"/>
        <w:rPr>
          <w:rFonts w:ascii="Times New Roman" w:hAnsi="Times New Roman"/>
        </w:rPr>
      </w:pPr>
    </w:p>
    <w:p w14:paraId="4A4C7A48"/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83887"/>
    <w:rsid w:val="58E8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99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4"/>
    <w:next w:val="1"/>
    <w:qFormat/>
    <w:uiPriority w:val="0"/>
    <w:rPr>
      <w:rFonts w:ascii="Times New Roman" w:hAnsi="Times New Roman"/>
      <w:sz w:val="28"/>
      <w:szCs w:val="20"/>
      <w:lang w:val="zh-CN"/>
    </w:rPr>
  </w:style>
  <w:style w:type="paragraph" w:customStyle="1" w:styleId="10">
    <w:name w:val="Normal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2026-04-29T04:19:00Z</dcterms:created>
  <dc:creator>WPS_1528114291</dc:creator>
  <cp:lastModifiedBy>WPS_1528114291</cp:lastModifiedBy>
  <dcterms:modified xsi:type="dcterms:W3CDTF">2026-04-29T04:21:13Z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9CB2610164A04CEFA23CC5F61FF98983_11</vt:lpwstr>
  </property>
  <property fmtid="{D5CDD505-2E9C-101B-9397-08002B2CF9AE}" pid="4" name="KSOTemplateDocerSaveRecord">
    <vt:lpwstr>eyJoZGlkIjoiNGEwNDc5M2RiMTcyOTFmODliMDZmYTdlNzQ5YzI5ZWMiLCJ1c2VySWQiOiIzNzYwMDg0MzYifQ==</vt:lpwstr>
  </property>
</Properties>
</file>