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sz w:val="32"/>
          <w:szCs w:val="32"/>
        </w:rPr>
      </w:pPr>
      <w:r>
        <w:rPr>
          <w:rFonts w:ascii="Times New Roman" w:hAnsi="Times New Roman" w:eastAsia="黑体"/>
          <w:sz w:val="32"/>
          <w:szCs w:val="32"/>
        </w:rPr>
        <w:t>附件2</w:t>
      </w:r>
    </w:p>
    <w:p>
      <w:pPr>
        <w:rPr>
          <w:rFonts w:ascii="Times New Roman" w:hAnsi="Times New Roman" w:eastAsia="黑体"/>
          <w:sz w:val="32"/>
          <w:szCs w:val="32"/>
        </w:rPr>
      </w:pPr>
    </w:p>
    <w:p>
      <w:pPr>
        <w:ind w:firstLine="720" w:firstLineChars="200"/>
        <w:jc w:val="center"/>
        <w:rPr>
          <w:rFonts w:ascii="Times New Roman" w:hAnsi="Times New Roman" w:eastAsia="方正小标宋简体"/>
          <w:sz w:val="36"/>
          <w:szCs w:val="36"/>
        </w:rPr>
      </w:pPr>
      <w:bookmarkStart w:id="0" w:name="_Hlk104887479"/>
      <w:r>
        <w:rPr>
          <w:rFonts w:ascii="Times New Roman" w:hAnsi="Times New Roman" w:eastAsia="方正小标宋简体"/>
          <w:sz w:val="36"/>
          <w:szCs w:val="36"/>
        </w:rPr>
        <w:t>“平安农机”示范市、县考评标准</w:t>
      </w:r>
    </w:p>
    <w:p>
      <w:pPr>
        <w:ind w:firstLine="720" w:firstLineChars="200"/>
        <w:jc w:val="center"/>
        <w:rPr>
          <w:rFonts w:ascii="Times New Roman" w:hAnsi="Times New Roman" w:eastAsia="方正小标宋简体"/>
          <w:sz w:val="36"/>
          <w:szCs w:val="36"/>
        </w:rPr>
      </w:pPr>
    </w:p>
    <w:bookmarkEnd w:id="0"/>
    <w:tbl>
      <w:tblPr>
        <w:tblStyle w:val="2"/>
        <w:tblW w:w="1394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418"/>
        <w:gridCol w:w="5386"/>
        <w:gridCol w:w="3309"/>
        <w:gridCol w:w="855"/>
        <w:gridCol w:w="854"/>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8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eastAsia="等线"/>
              </w:rPr>
            </w:pPr>
            <w:r>
              <w:rPr>
                <w:rFonts w:ascii="Times New Roman" w:hAnsi="Times New Roman" w:eastAsia="黑体"/>
                <w:color w:val="000000"/>
                <w:kern w:val="0"/>
                <w:sz w:val="24"/>
                <w:szCs w:val="24"/>
              </w:rPr>
              <w:t>考评项目</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eastAsia="等线"/>
              </w:rPr>
            </w:pPr>
            <w:r>
              <w:rPr>
                <w:rFonts w:ascii="Times New Roman" w:hAnsi="Times New Roman" w:eastAsia="黑体"/>
                <w:color w:val="000000"/>
                <w:kern w:val="0"/>
                <w:sz w:val="24"/>
                <w:szCs w:val="24"/>
              </w:rPr>
              <w:t>考评内容</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eastAsia="等线"/>
              </w:rPr>
            </w:pPr>
            <w:r>
              <w:rPr>
                <w:rFonts w:ascii="Times New Roman" w:hAnsi="Times New Roman" w:eastAsia="黑体"/>
                <w:color w:val="000000"/>
                <w:kern w:val="0"/>
                <w:sz w:val="24"/>
                <w:szCs w:val="24"/>
              </w:rPr>
              <w:t>考评方法</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Times New Roman" w:hAnsi="Times New Roman" w:eastAsia="黑体"/>
                <w:color w:val="000000"/>
                <w:kern w:val="0"/>
                <w:sz w:val="24"/>
                <w:szCs w:val="24"/>
              </w:rPr>
            </w:pPr>
            <w:r>
              <w:rPr>
                <w:rFonts w:ascii="Times New Roman" w:hAnsi="Times New Roman" w:eastAsia="黑体"/>
                <w:color w:val="000000"/>
                <w:kern w:val="0"/>
                <w:sz w:val="24"/>
                <w:szCs w:val="24"/>
              </w:rPr>
              <w:t>自评得分</w:t>
            </w: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eastAsia="等线"/>
              </w:rPr>
            </w:pPr>
            <w:r>
              <w:rPr>
                <w:rFonts w:ascii="Times New Roman" w:hAnsi="Times New Roman" w:eastAsia="黑体"/>
                <w:color w:val="000000"/>
                <w:kern w:val="0"/>
                <w:sz w:val="24"/>
                <w:szCs w:val="24"/>
              </w:rPr>
              <w:t>市级评分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eastAsia="等线"/>
              </w:rPr>
            </w:pPr>
            <w:r>
              <w:rPr>
                <w:rFonts w:ascii="Times New Roman" w:hAnsi="Times New Roman" w:eastAsia="黑体"/>
                <w:color w:val="000000"/>
                <w:kern w:val="0"/>
                <w:sz w:val="24"/>
                <w:szCs w:val="24"/>
              </w:rPr>
              <w:t>省级评分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一、</w:t>
            </w:r>
          </w:p>
          <w:p>
            <w:pPr>
              <w:widowControl/>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政府重视</w:t>
            </w:r>
          </w:p>
          <w:p>
            <w:pPr>
              <w:widowControl/>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（21分）</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1.加强农机安全管理组织领导（4分）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（1）政府成立由农业农村、应急管理、公安交管、发改、财政等相关部门参加的创建工作领导小组</w:t>
            </w:r>
            <w:r>
              <w:rPr>
                <w:rFonts w:hint="eastAsia" w:ascii="Times New Roman" w:hAnsi="Times New Roman" w:eastAsia="仿宋_GB2312"/>
                <w:color w:val="000000"/>
                <w:kern w:val="0"/>
                <w:szCs w:val="21"/>
              </w:rPr>
              <w:t>。</w:t>
            </w:r>
            <w:r>
              <w:rPr>
                <w:rFonts w:ascii="Times New Roman" w:hAnsi="Times New Roman" w:eastAsia="仿宋_GB2312"/>
                <w:color w:val="000000"/>
                <w:kern w:val="0"/>
                <w:szCs w:val="21"/>
              </w:rPr>
              <w:t>（1分）</w:t>
            </w:r>
          </w:p>
        </w:tc>
        <w:tc>
          <w:tcPr>
            <w:tcW w:w="330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查看文件材料，缺项不得分。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（2）领导小组由市、县分管领导担任负责人。（1分）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kern w:val="0"/>
                <w:szCs w:val="21"/>
              </w:rPr>
              <w:t>（3）印发促进农机安全生产的政府文件。（2分）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kern w:val="0"/>
                <w:sz w:val="24"/>
                <w:szCs w:val="24"/>
              </w:rPr>
              <w:t>2．保障农机安全的财政投入（8分）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kern w:val="0"/>
                <w:szCs w:val="21"/>
              </w:rPr>
              <w:t>（4）将农机安全生产工作经费、国务院规定免征和省政府同意暂停征收的农机监理行政事业性收费纳入财政预算。（4分）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查看文件材料，缺1项扣2分。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kern w:val="0"/>
                <w:szCs w:val="21"/>
              </w:rPr>
              <w:t>（5）将“平安农机”创建工作经费纳入财政预算。（4分）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查看相关文件，没有不得分。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3.落实农机安全生产责任制（9分）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6）农机安全生产列入当地安全生产总体规划，将农机安全生产和创建“平安农机”工作纳入政府安全生产目标考核。在乡村治理中运用积分制、清单制的地区，因地制宜推动将农机安全生产的管理要求纳入积分制、清单制范围。（3分）</w:t>
            </w:r>
          </w:p>
        </w:tc>
        <w:tc>
          <w:tcPr>
            <w:tcW w:w="330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Times New Roman" w:hAnsi="Times New Roman" w:eastAsia="仿宋_GB2312"/>
                <w:color w:val="000000"/>
                <w:kern w:val="0"/>
                <w:szCs w:val="21"/>
              </w:rPr>
            </w:pPr>
          </w:p>
          <w:p>
            <w:pPr>
              <w:widowControl/>
              <w:rPr>
                <w:rFonts w:ascii="Times New Roman" w:hAnsi="Times New Roman" w:eastAsia="仿宋_GB2312"/>
                <w:color w:val="000000"/>
                <w:kern w:val="0"/>
                <w:szCs w:val="21"/>
              </w:rPr>
            </w:pPr>
          </w:p>
          <w:p>
            <w:pPr>
              <w:widowControl/>
              <w:jc w:val="center"/>
              <w:rPr>
                <w:rFonts w:ascii="Times New Roman" w:hAnsi="Times New Roman" w:eastAsia="仿宋_GB2312"/>
                <w:color w:val="000000"/>
                <w:kern w:val="0"/>
                <w:szCs w:val="21"/>
              </w:rPr>
            </w:pPr>
            <w:r>
              <w:rPr>
                <w:rFonts w:ascii="Times New Roman" w:hAnsi="Times New Roman" w:eastAsia="仿宋_GB2312"/>
                <w:color w:val="000000"/>
                <w:kern w:val="0"/>
                <w:szCs w:val="21"/>
              </w:rPr>
              <w:t>查看文件材料，缺1项扣1分。</w:t>
            </w:r>
          </w:p>
          <w:p>
            <w:pPr>
              <w:widowControl/>
              <w:jc w:val="center"/>
              <w:rPr>
                <w:rFonts w:ascii="Times New Roman" w:hAnsi="Times New Roman" w:eastAsia="仿宋_GB2312"/>
                <w:color w:val="000000"/>
                <w:kern w:val="0"/>
                <w:szCs w:val="21"/>
              </w:rPr>
            </w:pPr>
          </w:p>
          <w:p>
            <w:pPr>
              <w:widowControl/>
              <w:jc w:val="center"/>
              <w:rPr>
                <w:rFonts w:ascii="Times New Roman" w:hAnsi="Times New Roman" w:eastAsia="仿宋_GB2312"/>
                <w:color w:val="000000"/>
                <w:kern w:val="0"/>
                <w:szCs w:val="21"/>
              </w:rPr>
            </w:pPr>
          </w:p>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7）积极创新构建新阶段农机安全生产监督管理工作机制，形成农业农村部门负责，农机安全监理、农业综合行政执法等相关机构分工承担、协调联动的工作机制，全面落实农机安全生产监管职责，维持农机安全生产监管队伍稳定。（3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8）因地制宜推行农机安全生产“网格化”监管等精细化管理模式，落实乡（镇）、村和农机服务组织安全监管责任制，做到底数清晰，设置农机安全生产监管职责岗位人员的乡（镇）以及行政村比例不低于70%，设置安全生产管理人员的农机服务组织比例达到100%。（3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二、</w:t>
            </w:r>
          </w:p>
          <w:p>
            <w:pPr>
              <w:rPr>
                <w:rFonts w:ascii="Times New Roman" w:hAnsi="Times New Roman" w:eastAsia="等线"/>
              </w:rPr>
            </w:pPr>
            <w:r>
              <w:rPr>
                <w:rFonts w:ascii="Times New Roman" w:hAnsi="Times New Roman" w:eastAsia="仿宋_GB2312"/>
                <w:b/>
                <w:bCs/>
                <w:color w:val="000000"/>
                <w:kern w:val="0"/>
                <w:sz w:val="24"/>
                <w:szCs w:val="24"/>
              </w:rPr>
              <w:t>部门协作（7分）</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4.创建扎实有效（2分）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（9）农业农村、应急管理等部门负责本地区的“平安农机”创建工作，精心组织、周密部署，创建工作有目标、有计划、有检查、有成效。（2分）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查看文件及记录，缺项不得分。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5.建立联席会议制度（2分）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（10）建立农业农村、应急管理、公安等部门联合工作机制，每年至少召开2次联席会议，切实强化综合治理，共同维护农机安全生产。（2分）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查看记录，少1次扣1分。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6.建立信息通报制度（3分）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（11）农业农村部门定期向公安部门通报拖拉机注册登记、安全检验和驾驶证发放等情况。（1分）</w:t>
            </w:r>
          </w:p>
        </w:tc>
        <w:tc>
          <w:tcPr>
            <w:tcW w:w="330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查看记录，缺项不得分。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（12）公安部门定期向农业农村部门通报农机道路交通违法和交通事故情况。（1分）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（13）落实生产安全事故联网直报工作要求，农业农村部门及时向应急管理部门通报农机事故情况。（1分）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三、</w:t>
            </w:r>
          </w:p>
          <w:p>
            <w:pPr>
              <w:rPr>
                <w:rFonts w:ascii="Times New Roman" w:hAnsi="Times New Roman" w:eastAsia="等线"/>
              </w:rPr>
            </w:pPr>
            <w:r>
              <w:rPr>
                <w:rFonts w:ascii="Times New Roman" w:hAnsi="Times New Roman" w:eastAsia="仿宋_GB2312"/>
                <w:b/>
                <w:bCs/>
                <w:color w:val="000000"/>
                <w:kern w:val="0"/>
                <w:sz w:val="24"/>
                <w:szCs w:val="24"/>
              </w:rPr>
              <w:t>宣传有力（12分）</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7.开展农机安全宣传教育情况（12分）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14）紧紧围绕学习贯彻习近平总书记关于安全生产重要论述，围绕贯彻落实党中央、国务院关于安全生产工作决策部署，按照农业农村部、应急管理部等关于农机安全生产的要求，制定学习教育方案，部署经常性、系统性宣贯活动。（3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查看学习和宣贯活动记录，达不到要求的不得分。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（15）结合重要农时，每年有针对性地开展农机安全生产宣传和技术指导培训不少于2次，普及农机安全生产法律法规知识和安全生产技能，农机驾驶操作人员的参训率达到80%以上。（3分）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查看活动记录，少1次扣1分。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（16）深入开展农机安全宣传“五进”、农机“安全生产月”等安全宣传教育活动。（3分）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查看活动记录，没有不得分。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（17）通过在农机监理业务大厅和农机考试、检验场地设置农机安全宣传专栏、印制宣传材料、制作教育警示片等方式，营造安全生产良好氛围。（3分）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实地查看，达不到要求不得分。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四、</w:t>
            </w:r>
          </w:p>
          <w:p>
            <w:pPr>
              <w:rPr>
                <w:rFonts w:ascii="Times New Roman" w:hAnsi="Times New Roman" w:eastAsia="等线"/>
              </w:rPr>
            </w:pPr>
            <w:r>
              <w:rPr>
                <w:rFonts w:ascii="Times New Roman" w:hAnsi="Times New Roman" w:eastAsia="仿宋_GB2312"/>
                <w:b/>
                <w:bCs/>
                <w:color w:val="000000"/>
                <w:kern w:val="0"/>
                <w:sz w:val="24"/>
                <w:szCs w:val="24"/>
              </w:rPr>
              <w:t>管理规范（25分）</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8.持证上岗情况（5分）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（18）农机安全生产监管人员积极参加岗位知识和技能培训，农机考试员、检验员、事故处理员持证上岗率100%。（5分）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实地检查，每项不满100%扣1分。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9.执法办事程序公开制度（5分）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（19）公开执法依据、办事程序、免征收费项目、办事人员和办事结果。公布农机行政许可、安全执法、安全检查、事故责任认定等权力清单。（5分）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实地检查，缺1项扣1分。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10.隐患排查治理（5分）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（20）深入开展农机安全生产隐患排查治理，建立隐患清单、整改清单，对清单内容实行动态跟踪，确保隐患整改闭环管理。（5分）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查看隐患清单和整改记录，每1起隐患整改不到位扣1分；无隐患清单及整改记录不得分。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11.重点时段执法检查（5分）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21）紧密结合春耕、“三夏”、“三秋”、节假日等重点时段，深入农田、场院开展农机安全生产执法检查，建立台账，及时纠正违反安全操作规程的作业行为以及无牌行驶、无证驾驶、未检验使用等违法行为。（5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查看相关记录，缺1项扣1分。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12.落实执法“三项制度”（5分）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（22）按照农业行政执法程序，规范执法行为，落实“三项制度”（行政执法公示制度、执法全过程记录制度、重大执法决定法制审核制度），规范执法文书的制作，严格执法、文明执法。（5分）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查看相关记录，每1起不规范执法行为扣1分。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五、</w:t>
            </w:r>
          </w:p>
          <w:p>
            <w:pPr>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治理有效（35分）</w:t>
            </w: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p>
          <w:p>
            <w:pPr>
              <w:jc w:val="center"/>
              <w:rPr>
                <w:rFonts w:hint="eastAsia" w:ascii="Times New Roman" w:hAnsi="Times New Roman" w:eastAsia="仿宋_GB2312"/>
                <w:b/>
                <w:bCs/>
                <w:color w:val="000000"/>
                <w:kern w:val="0"/>
                <w:sz w:val="24"/>
                <w:szCs w:val="24"/>
              </w:rPr>
            </w:pPr>
          </w:p>
          <w:p>
            <w:pPr>
              <w:jc w:val="center"/>
              <w:rPr>
                <w:rFonts w:ascii="Times New Roman" w:hAnsi="Times New Roman" w:eastAsia="仿宋_GB2312"/>
                <w:b/>
                <w:bCs/>
                <w:color w:val="000000"/>
                <w:kern w:val="0"/>
                <w:sz w:val="24"/>
                <w:szCs w:val="24"/>
              </w:rPr>
            </w:pPr>
            <w:r>
              <w:rPr>
                <w:rFonts w:ascii="Times New Roman" w:hAnsi="Times New Roman" w:eastAsia="仿宋_GB2312"/>
                <w:b/>
                <w:bCs/>
                <w:color w:val="000000"/>
                <w:kern w:val="0"/>
                <w:sz w:val="24"/>
                <w:szCs w:val="24"/>
              </w:rPr>
              <w:t>五、</w:t>
            </w:r>
          </w:p>
          <w:p>
            <w:pPr>
              <w:rPr>
                <w:rFonts w:ascii="Times New Roman" w:hAnsi="Times New Roman" w:eastAsia="等线"/>
              </w:rPr>
            </w:pPr>
            <w:r>
              <w:rPr>
                <w:rFonts w:ascii="Times New Roman" w:hAnsi="Times New Roman" w:eastAsia="仿宋_GB2312"/>
                <w:b/>
                <w:bCs/>
                <w:color w:val="000000"/>
                <w:kern w:val="0"/>
                <w:sz w:val="24"/>
                <w:szCs w:val="24"/>
              </w:rPr>
              <w:t>治理有效（35分）</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13.拖拉机、联合收割机注册登记、安全检验及驾驶人考证工作（12分）</w:t>
            </w:r>
          </w:p>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 xml:space="preserve">（23）严格按照《拖拉机和联合收割机登记规定》（农业部令2018年第2号）及相关配套文件进行拖拉机、联合收割机注册登记，档案内容齐全规范，电子档案、纸质档案、证件记载信息实现“三个一致”。（3分） </w:t>
            </w:r>
          </w:p>
        </w:tc>
        <w:tc>
          <w:tcPr>
            <w:tcW w:w="330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查看档案，每1项不规范扣1分。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（24）严格按照有关法规和标准进行拖拉机、联合收割机安全技术检验，积极推进检验方式创新，结合实际采取政府购买服务等方式努力提高检验覆盖度。（3分）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25）严格按照《拖拉机和联合收割机驾驶证管理规定》（农业部令2018年第1号）及有关配套文件进行拖拉机、联合收割机驾驶证件的申领、考试、发证和换证等工作，档案内容齐全规范。加强对农机驾驶培训监督管理，确保培训质量。（3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（26）拖拉机和联合收割机上牌率、检验率达到87%以上，无证驾驶现象显著下降。（3分）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查看相关资料，未达到要求每1项扣1分。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14.变型拖拉机治理（5分）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（27）严查假牌套牌变型拖拉机，加快存量变型拖拉机淘汰清理，按照本地区变型拖拉机淘汰进度要求，积极开展工作，确保按时实现清零。建立纯运输拖拉机退出机制。（5分）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查看记录，缺1项扣1分。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15.农机报废更新工作（3分）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（28）全面落实农机报废更新补贴政策，制定并公开实施方案，推行“一站式”服务、网上办理等便民措施，按时进行实施进度统计分析，做好工作总结。（3分）</w:t>
            </w:r>
          </w:p>
        </w:tc>
        <w:tc>
          <w:tcPr>
            <w:tcW w:w="330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实地查看，未开展工作不得分。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16.“亮尾工程”（3分）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szCs w:val="21"/>
              </w:rPr>
              <w:t>（29）实施“亮尾工程”，拖拉机运输机组应灯光齐全并粘贴反光标识，积极推行其他上道路行驶的农业机械粘贴反光标识或插挂反光警示旗。（3分）</w:t>
            </w:r>
          </w:p>
        </w:tc>
        <w:tc>
          <w:tcPr>
            <w:tcW w:w="330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17.农机事故预防及统计处理（12分）</w:t>
            </w: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（30）建立农机事故应急救援预案。（2分）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查看预案，没有不得分。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（31）每年组织一次应急救援演练。（2分）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查看演练资料，没有资料不得分。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（32）公开事故报告电话，建立24小时值班制度。（1分）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查看记录，缺少重大节假日值班表不得分。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（33）严格按照《农业机械事故处理办法》处置农机事故，农机事故档案完整。（2分）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查看档案，不完整不得分。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（34）按时进行农机事故月报。（1分）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查看报表，不按时上报不得分。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（35）农机事故统计数据真实。（2 分）</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调查，不真实不得分。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141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53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 xml:space="preserve">（36）及时对农机事故进行半年、全年分析，并将事故统计分析情况、整改措施向上级部门报告。（2 分） </w:t>
            </w:r>
          </w:p>
        </w:tc>
        <w:tc>
          <w:tcPr>
            <w:tcW w:w="33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Cs w:val="21"/>
              </w:rPr>
              <w:t>查看分析报告，半年报和年报缺1项扣1分。</w:t>
            </w: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Times New Roman" w:hAnsi="Times New Roman" w:eastAsia="等线"/>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b/>
                <w:bCs/>
                <w:color w:val="000000"/>
                <w:kern w:val="0"/>
                <w:sz w:val="24"/>
                <w:szCs w:val="24"/>
              </w:rPr>
              <w:t>否决项</w:t>
            </w:r>
          </w:p>
        </w:tc>
        <w:tc>
          <w:tcPr>
            <w:tcW w:w="12677"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color w:val="000000"/>
                <w:kern w:val="0"/>
                <w:sz w:val="24"/>
                <w:szCs w:val="24"/>
              </w:rPr>
              <w:t>近3年，示范市及辖区内发生较大及以上农机事故，示范县发生农机死亡事故的实行一票否决。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r>
              <w:rPr>
                <w:rFonts w:ascii="Times New Roman" w:hAnsi="Times New Roman" w:eastAsia="仿宋_GB2312"/>
                <w:b/>
                <w:bCs/>
                <w:color w:val="000000"/>
                <w:kern w:val="0"/>
                <w:sz w:val="24"/>
                <w:szCs w:val="24"/>
              </w:rPr>
              <w:t>得分合计</w:t>
            </w:r>
          </w:p>
        </w:tc>
        <w:tc>
          <w:tcPr>
            <w:tcW w:w="10113"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eastAsia="等线"/>
              </w:rPr>
            </w:pPr>
          </w:p>
        </w:tc>
        <w:tc>
          <w:tcPr>
            <w:tcW w:w="855" w:type="dxa"/>
            <w:tcBorders>
              <w:top w:val="single" w:color="auto" w:sz="4" w:space="0"/>
              <w:left w:val="single" w:color="auto" w:sz="4" w:space="0"/>
              <w:right w:val="single" w:color="auto" w:sz="4" w:space="0"/>
            </w:tcBorders>
            <w:shd w:val="clear" w:color="auto" w:fill="auto"/>
            <w:noWrap w:val="0"/>
            <w:vAlign w:val="top"/>
          </w:tcPr>
          <w:p>
            <w:pPr>
              <w:rPr>
                <w:rFonts w:ascii="Times New Roman" w:hAnsi="Times New Roman" w:eastAsia="等线"/>
              </w:rPr>
            </w:pPr>
          </w:p>
        </w:tc>
        <w:tc>
          <w:tcPr>
            <w:tcW w:w="854" w:type="dxa"/>
            <w:tcBorders>
              <w:top w:val="single" w:color="auto" w:sz="4" w:space="0"/>
              <w:left w:val="single" w:color="auto" w:sz="4" w:space="0"/>
              <w:right w:val="single" w:color="auto" w:sz="4" w:space="0"/>
            </w:tcBorders>
            <w:shd w:val="clear" w:color="auto" w:fill="auto"/>
            <w:noWrap w:val="0"/>
            <w:vAlign w:val="top"/>
          </w:tcPr>
          <w:p>
            <w:pPr>
              <w:rPr>
                <w:rFonts w:ascii="Times New Roman" w:hAnsi="Times New Roman" w:eastAsia="等线"/>
              </w:rPr>
            </w:pPr>
          </w:p>
        </w:tc>
        <w:tc>
          <w:tcPr>
            <w:tcW w:w="855" w:type="dxa"/>
            <w:tcBorders>
              <w:top w:val="single" w:color="auto" w:sz="4" w:space="0"/>
              <w:left w:val="single" w:color="auto" w:sz="4" w:space="0"/>
              <w:right w:val="single" w:color="auto" w:sz="4" w:space="0"/>
            </w:tcBorders>
            <w:shd w:val="clear" w:color="auto" w:fill="auto"/>
            <w:noWrap w:val="0"/>
            <w:vAlign w:val="top"/>
          </w:tcPr>
          <w:p>
            <w:pPr>
              <w:rPr>
                <w:rFonts w:ascii="Times New Roman" w:hAnsi="Times New Roman" w:eastAsia="等线"/>
              </w:rPr>
            </w:pPr>
          </w:p>
        </w:tc>
      </w:tr>
    </w:tbl>
    <w:p>
      <w:pPr>
        <w:rPr>
          <w:rFonts w:ascii="Times New Roman" w:hAnsi="Times New Roman" w:eastAsia="等线"/>
        </w:rPr>
      </w:pPr>
    </w:p>
    <w:p>
      <w:pPr>
        <w:rPr>
          <w:rFonts w:ascii="Times New Roman" w:hAnsi="Times New Roman"/>
          <w:lang w:val="en"/>
        </w:rPr>
      </w:pPr>
    </w:p>
    <w:p>
      <w:bookmarkStart w:id="1" w:name="_GoBack"/>
      <w:bookmarkEnd w:id="1"/>
    </w:p>
    <w:sectPr>
      <w:pgSz w:w="16838" w:h="11906" w:orient="landscape"/>
      <w:pgMar w:top="2154"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4MmJhMDI5Yjk4ODc3N2RjM2I5ZGQ4YWQ1OWM2MjkifQ=="/>
  </w:docVars>
  <w:rsids>
    <w:rsidRoot w:val="42585B27"/>
    <w:rsid w:val="42585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2022-08-03T08:22:00Z</dcterms:created>
  <dc:creator>相见不如怀念</dc:creator>
  <cp:lastModifiedBy>相见不如怀念</cp:lastModifiedBy>
  <dcterms:modified xsi:type="dcterms:W3CDTF">2022-08-03T08:22:49Z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9CBD47A070B747A4A63257E04EF74268</vt:lpwstr>
  </property>
</Properties>
</file>